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Monterings och säkerhetsinstruktioner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Instruktioner för byte av bromsskivor - VARNING: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Bromsar är en viktig säkerhetskomponent i ditt fordon och felaktig installation kan orsaka fordonsolycka, allvarlig skada eller död.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Följ alltid tillverkarens instruktioner.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Det rostkskyddande fettlagret på bromsskivor i naturligt silver måste avlägsnas försiktigt med lämplig rengöringsspray (bromsrengöring eller lacknafta) för att undvika att bromsok och belägg kontamineras.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Bromsskivor med termisk beläggning har ingen fet skyddsbeläggning.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TA INTE BORT DEN SVARTA BELÄGGNINGEN.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Viktigt: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Bromsskivans fäste och hjulnav måste rengöras innan de sätts på plats.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Rost och smuts kan skada skivan och eventuellt orsaka bromsvibrationer.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Kontrollera: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När bromsskivan installerats ska en indikatorklocka, gärna med magnetisk botten placeras mot fordonets chassi.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Bromsskivan ska roteras och testas för axiell runout. 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Om runout överstiger 0,05 mm måste bromsskivan monteras ned och roteras ett bulthål.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Upprepa testet.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Om runout fortfarande är för stort ska bromsskivan tas bort, kontrollera bulten för smuts och skador och upprepa proceduren.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Bromsskivor är en precisionsprodukt. Om det visar sig att runout är för stor efter installationen så kommer bromsskivornas tjocklek att påverkas efter cirka 7000 kilometer och orsaka bromsvibrationer. 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Vibrationer på bromsskivorna fram känns i ratten, vibrationer i bromsskivor bak känns i bromspedalen eller i körsätet.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Det går endast att åtgärda detta med en bromssvarv från Pro-Cut. Det är inte ett problem som täcks av garantin.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Information om var du hittar närmaste Pro-Cut center hittar du på EBCs webbsida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Sätt alltid in nya bromsbelägg och räkna med cirka 480 - 800 km innan beläggningar och diskskivor sätter sig. Kör försiktigt under den här tiden eftersom bromsarna kan vara mindre effektiva.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</w:t>
      </w:r>
      <w:r>
        <w:rPr>
          <w:sz w:val="24"/>
          <w:rFonts w:ascii="Helvetica Neue LT Std" w:hAnsi="Helvetica Neue LT Std"/>
        </w:rPr>
        <w:t xml:space="preserve">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Kontrollera att bromskolvar glider fritt och inte stockar sig, kolvar som sitter fast kan orsaka ojämn bromsning eller bromsvibrationer.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VARNING: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b/>
          <w:rFonts w:ascii="Helvetica Neue LT Std" w:hAnsi="Helvetica Neue LT Std"/>
        </w:rPr>
        <w:t xml:space="preserve">Byt alltid ut bromsskivor i par.</w:t>
      </w:r>
      <w:r>
        <w:rPr>
          <w:sz w:val="24"/>
          <w:b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Hjulbultar måste dras åt diagonalt och fästas med en momentnyckel enligt tillverkarens anvisningar.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Byte av bromsskivor bör alltid göras av en mekaniker och enligt tillverkarens instruktioner.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